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85AB" w14:textId="77777777" w:rsidR="003920AC" w:rsidRDefault="003920AC">
      <w:r>
        <w:t>Hello all,</w:t>
      </w:r>
    </w:p>
    <w:p w14:paraId="7A305DBF" w14:textId="42355BAB" w:rsidR="00083D26" w:rsidRDefault="00083D26">
      <w:r>
        <w:t>Please see reference material to help you prepare for the April Get Out of the Car Fi</w:t>
      </w:r>
      <w:r w:rsidR="003920AC">
        <w:t>el</w:t>
      </w:r>
      <w:r>
        <w:t xml:space="preserve">d Talk. None of this is required for you to participate but is made available for anyone that would like to freshen up a little or become more familiar with the action that took place in the Wheatfield. </w:t>
      </w:r>
    </w:p>
    <w:p w14:paraId="1B41B318" w14:textId="254243D1" w:rsidR="005648AF" w:rsidRDefault="00083D26">
      <w:r>
        <w:t>Episodes of AG about the action in the Wheatfield.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9360"/>
      </w:tblGrid>
      <w:tr w:rsidR="00083D26" w:rsidRPr="00083D26" w14:paraId="53E2FBFD" w14:textId="77777777" w:rsidTr="00083D26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9250" w:type="dxa"/>
              <w:tblLook w:val="04A0" w:firstRow="1" w:lastRow="0" w:firstColumn="1" w:lastColumn="0" w:noHBand="0" w:noVBand="1"/>
            </w:tblPr>
            <w:tblGrid>
              <w:gridCol w:w="9250"/>
            </w:tblGrid>
            <w:tr w:rsidR="00083D26" w:rsidRPr="00083D26" w14:paraId="10506585" w14:textId="77777777" w:rsidTr="00582383">
              <w:trPr>
                <w:trHeight w:val="420"/>
              </w:trPr>
              <w:tc>
                <w:tcPr>
                  <w:tcW w:w="9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938B36" w14:textId="77777777" w:rsidR="00083D26" w:rsidRPr="00083D26" w:rsidRDefault="00083D26" w:rsidP="00083D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083D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Ask A Gettysburg Guide #5</w:t>
                  </w:r>
                  <w:r w:rsidRPr="00083D2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- with LBG Lewis Trott </w:t>
                  </w:r>
                </w:p>
              </w:tc>
            </w:tr>
            <w:tr w:rsidR="00083D26" w:rsidRPr="00083D26" w14:paraId="5425D5B3" w14:textId="77777777" w:rsidTr="00582383">
              <w:trPr>
                <w:trHeight w:val="420"/>
              </w:trPr>
              <w:tc>
                <w:tcPr>
                  <w:tcW w:w="92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535D0E" w14:textId="1192EBB4" w:rsidR="00083D26" w:rsidRPr="00083D26" w:rsidRDefault="00083D26" w:rsidP="00083D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083D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Ask A Gettysburg Guide #1</w:t>
                  </w:r>
                  <w:r w:rsidRPr="00083D2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1- From </w:t>
                  </w:r>
                  <w:proofErr w:type="gramStart"/>
                  <w:r w:rsidRPr="00083D2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The</w:t>
                  </w:r>
                  <w:proofErr w:type="gramEnd"/>
                  <w:r w:rsidRPr="00083D2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 Wheatfield </w:t>
                  </w:r>
                  <w:proofErr w:type="gramStart"/>
                  <w:r w:rsidRPr="00083D2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With</w:t>
                  </w:r>
                  <w:proofErr w:type="gramEnd"/>
                  <w:r w:rsidRPr="00083D2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 LBG Jessie </w:t>
                  </w:r>
                  <w:proofErr w:type="spellStart"/>
                  <w:r w:rsidRPr="00083D2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Wheedlton</w:t>
                  </w:r>
                  <w:proofErr w:type="spellEnd"/>
                  <w:r w:rsidRPr="00083D2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 </w:t>
                  </w:r>
                  <w:r w:rsidR="005823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and Bob Steenstra</w:t>
                  </w:r>
                </w:p>
              </w:tc>
            </w:tr>
            <w:tr w:rsidR="00083D26" w:rsidRPr="00083D26" w14:paraId="48A73D37" w14:textId="77777777" w:rsidTr="00582383">
              <w:trPr>
                <w:trHeight w:val="420"/>
              </w:trPr>
              <w:tc>
                <w:tcPr>
                  <w:tcW w:w="92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84185B" w14:textId="77777777" w:rsidR="00083D26" w:rsidRPr="00083D26" w:rsidRDefault="00083D26" w:rsidP="00083D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083D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Ask A Gettysburg Guide #47</w:t>
                  </w:r>
                  <w:r w:rsidRPr="00083D2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- The Bloody Wheatfield with LBG Lewis Trott </w:t>
                  </w:r>
                </w:p>
              </w:tc>
            </w:tr>
            <w:tr w:rsidR="00083D26" w:rsidRPr="00083D26" w14:paraId="194CCD53" w14:textId="77777777" w:rsidTr="00582383">
              <w:trPr>
                <w:trHeight w:val="420"/>
              </w:trPr>
              <w:tc>
                <w:tcPr>
                  <w:tcW w:w="92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E43EDF" w14:textId="77777777" w:rsidR="00083D26" w:rsidRPr="00083D26" w:rsidRDefault="00083D26" w:rsidP="00083D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083D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Ask A Gettysburg Guide #62</w:t>
                  </w:r>
                  <w:r w:rsidRPr="00083D2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- Kershaw’s Brigade and the Spot Where the South Lost the War </w:t>
                  </w:r>
                </w:p>
              </w:tc>
            </w:tr>
            <w:tr w:rsidR="00083D26" w:rsidRPr="00083D26" w14:paraId="369C6A6E" w14:textId="77777777" w:rsidTr="00582383">
              <w:trPr>
                <w:trHeight w:val="420"/>
              </w:trPr>
              <w:tc>
                <w:tcPr>
                  <w:tcW w:w="92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6DBA9A" w14:textId="77777777" w:rsidR="00083D26" w:rsidRPr="00083D26" w:rsidRDefault="00083D26" w:rsidP="00083D2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083D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Liberty Rifles Charge into Gettysburg’s Wheatfield </w:t>
                  </w:r>
                </w:p>
              </w:tc>
            </w:tr>
          </w:tbl>
          <w:p w14:paraId="0212BCA3" w14:textId="77777777" w:rsidR="00083D26" w:rsidRDefault="00083D26" w:rsidP="00083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241E6DC" w14:textId="77777777" w:rsidR="00083D26" w:rsidRPr="00083D26" w:rsidRDefault="00083D26" w:rsidP="00083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71F4920A" w14:textId="5C3F9BCD" w:rsidR="00083D26" w:rsidRDefault="00083D26" w:rsidP="00083D2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00083D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</w:t>
            </w:r>
            <w:r w:rsidRPr="00083D26">
              <w:rPr>
                <w:rFonts w:eastAsia="Times New Roman" w:cs="Calibri"/>
                <w:color w:val="000000"/>
                <w:kern w:val="0"/>
                <w14:ligatures w14:val="none"/>
              </w:rPr>
              <w:t>commended maps depicting the action in the Wheatfield.</w:t>
            </w:r>
          </w:p>
          <w:p w14:paraId="0DAF538B" w14:textId="77777777" w:rsidR="00083D26" w:rsidRDefault="00083D26" w:rsidP="00083D2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14:ligatures w14:val="none"/>
              </w:rPr>
            </w:pPr>
          </w:p>
          <w:tbl>
            <w:tblPr>
              <w:tblW w:w="9380" w:type="dxa"/>
              <w:tblLook w:val="04A0" w:firstRow="1" w:lastRow="0" w:firstColumn="1" w:lastColumn="0" w:noHBand="0" w:noVBand="1"/>
            </w:tblPr>
            <w:tblGrid>
              <w:gridCol w:w="1501"/>
              <w:gridCol w:w="1501"/>
              <w:gridCol w:w="6122"/>
            </w:tblGrid>
            <w:tr w:rsidR="00897F73" w:rsidRPr="00897F73" w14:paraId="5E1B0CAB" w14:textId="77777777" w:rsidTr="00897F73">
              <w:trPr>
                <w:trHeight w:val="285"/>
              </w:trPr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3FB93F9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Page #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56891E5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Map</w:t>
                  </w:r>
                </w:p>
              </w:tc>
              <w:tc>
                <w:tcPr>
                  <w:tcW w:w="6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7B1E13F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Notes</w:t>
                  </w:r>
                </w:p>
              </w:tc>
            </w:tr>
            <w:tr w:rsidR="00897F73" w:rsidRPr="00897F73" w14:paraId="01AF3CB3" w14:textId="77777777" w:rsidTr="00897F73">
              <w:trPr>
                <w:trHeight w:val="255"/>
              </w:trPr>
              <w:tc>
                <w:tcPr>
                  <w:tcW w:w="9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BFBFBF"/>
                  <w:noWrap/>
                  <w:vAlign w:val="bottom"/>
                  <w:hideMark/>
                </w:tcPr>
                <w:p w14:paraId="4EC1F3B5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Gettysburg Campaign Atlas, Revised and Expanded by Philip Laino, Gettysburg Publishing</w:t>
                  </w:r>
                </w:p>
              </w:tc>
            </w:tr>
            <w:tr w:rsidR="00897F73" w:rsidRPr="00897F73" w14:paraId="4D2BEBE6" w14:textId="77777777" w:rsidTr="00897F73">
              <w:trPr>
                <w:trHeight w:val="255"/>
              </w:trPr>
              <w:tc>
                <w:tcPr>
                  <w:tcW w:w="15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B85F9E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199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38F9E8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2-39</w:t>
                  </w: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AD80B06" w14:textId="77777777" w:rsidR="00897F73" w:rsidRPr="00897F73" w:rsidRDefault="00897F73" w:rsidP="00897F7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Anderson threatens the Wheatfield</w:t>
                  </w:r>
                </w:p>
              </w:tc>
            </w:tr>
            <w:tr w:rsidR="00897F73" w:rsidRPr="00897F73" w14:paraId="1EF6D337" w14:textId="77777777" w:rsidTr="00897F73">
              <w:trPr>
                <w:trHeight w:val="255"/>
              </w:trPr>
              <w:tc>
                <w:tcPr>
                  <w:tcW w:w="15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05C72C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214-222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B6BD0C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2-56 to 2-70</w:t>
                  </w: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67F5BF0" w14:textId="1034A2C2" w:rsidR="00897F73" w:rsidRPr="00897F73" w:rsidRDefault="00897F73" w:rsidP="00897F7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The attack and defense of the </w:t>
                  </w: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Wheatfield</w:t>
                  </w:r>
                </w:p>
              </w:tc>
            </w:tr>
            <w:tr w:rsidR="00897F73" w:rsidRPr="00897F73" w14:paraId="7AF9E90D" w14:textId="77777777" w:rsidTr="00897F73">
              <w:trPr>
                <w:trHeight w:val="255"/>
              </w:trPr>
              <w:tc>
                <w:tcPr>
                  <w:tcW w:w="15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11B453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228-230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3FE212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2-76 to 2-78</w:t>
                  </w: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5D08137" w14:textId="77777777" w:rsidR="00897F73" w:rsidRPr="00897F73" w:rsidRDefault="00897F73" w:rsidP="00897F7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Kershaw moves on Stony Hill</w:t>
                  </w:r>
                </w:p>
              </w:tc>
            </w:tr>
            <w:tr w:rsidR="00897F73" w:rsidRPr="00897F73" w14:paraId="28C8011A" w14:textId="77777777" w:rsidTr="00897F73">
              <w:trPr>
                <w:trHeight w:val="255"/>
              </w:trPr>
              <w:tc>
                <w:tcPr>
                  <w:tcW w:w="15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6EA243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232-238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53DF00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2-80 to 2-89</w:t>
                  </w: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F9EC3BE" w14:textId="77777777" w:rsidR="00897F73" w:rsidRPr="00897F73" w:rsidRDefault="00897F73" w:rsidP="00897F7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Tilton and Sweitzer Withdraw</w:t>
                  </w:r>
                </w:p>
              </w:tc>
            </w:tr>
            <w:tr w:rsidR="00897F73" w:rsidRPr="00897F73" w14:paraId="40ECBE64" w14:textId="77777777" w:rsidTr="00897F73">
              <w:trPr>
                <w:trHeight w:val="255"/>
              </w:trPr>
              <w:tc>
                <w:tcPr>
                  <w:tcW w:w="15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DF1B50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251-256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278FDF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2-103 to 2-111</w:t>
                  </w: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DC7469C" w14:textId="77777777" w:rsidR="00897F73" w:rsidRPr="00897F73" w:rsidRDefault="00897F73" w:rsidP="00897F7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The Confederates attack the </w:t>
                  </w:r>
                  <w:proofErr w:type="gramStart"/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Wheatfield yet</w:t>
                  </w:r>
                  <w:proofErr w:type="gramEnd"/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again.</w:t>
                  </w:r>
                </w:p>
              </w:tc>
            </w:tr>
            <w:tr w:rsidR="00897F73" w:rsidRPr="00897F73" w14:paraId="02AC3E66" w14:textId="77777777" w:rsidTr="00897F73">
              <w:trPr>
                <w:trHeight w:val="255"/>
              </w:trPr>
              <w:tc>
                <w:tcPr>
                  <w:tcW w:w="15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50D57F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265-267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1B5ACE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2-120 to 2-122</w:t>
                  </w: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977595E" w14:textId="77777777" w:rsidR="00897F73" w:rsidRPr="00897F73" w:rsidRDefault="00897F73" w:rsidP="00897F7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Ayres' division retreats as 6th Corp troops advance</w:t>
                  </w:r>
                </w:p>
              </w:tc>
            </w:tr>
            <w:tr w:rsidR="00897F73" w:rsidRPr="00897F73" w14:paraId="1F941A25" w14:textId="77777777" w:rsidTr="00897F73">
              <w:trPr>
                <w:trHeight w:val="255"/>
              </w:trPr>
              <w:tc>
                <w:tcPr>
                  <w:tcW w:w="9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BFBFBF"/>
                  <w:noWrap/>
                  <w:vAlign w:val="bottom"/>
                  <w:hideMark/>
                </w:tcPr>
                <w:p w14:paraId="24E27AF7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The Maps of Gettysburg, by Brad Gottfried, Savas Beatie</w:t>
                  </w:r>
                </w:p>
              </w:tc>
            </w:tr>
            <w:tr w:rsidR="00897F73" w:rsidRPr="00897F73" w14:paraId="7F86759B" w14:textId="77777777" w:rsidTr="00897F73">
              <w:trPr>
                <w:trHeight w:val="255"/>
              </w:trPr>
              <w:tc>
                <w:tcPr>
                  <w:tcW w:w="15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BBC1B4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164-181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02DC13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Map set 17</w:t>
                  </w: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5C19BE5" w14:textId="77777777" w:rsidR="00897F73" w:rsidRPr="00897F73" w:rsidRDefault="00897F73" w:rsidP="00897F7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The Wheatfield and Stony Hill</w:t>
                  </w:r>
                </w:p>
              </w:tc>
            </w:tr>
            <w:tr w:rsidR="00897F73" w:rsidRPr="00897F73" w14:paraId="083FDDAF" w14:textId="77777777" w:rsidTr="00897F73">
              <w:trPr>
                <w:trHeight w:val="255"/>
              </w:trPr>
              <w:tc>
                <w:tcPr>
                  <w:tcW w:w="9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BFBFBF"/>
                  <w:noWrap/>
                  <w:vAlign w:val="bottom"/>
                  <w:hideMark/>
                </w:tcPr>
                <w:p w14:paraId="645ABE35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A Field </w:t>
                  </w:r>
                  <w:proofErr w:type="spellStart"/>
                  <w:r w:rsidRPr="00897F7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Guideto</w:t>
                  </w:r>
                  <w:proofErr w:type="spellEnd"/>
                  <w:r w:rsidRPr="00897F7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Gettysburg 2nd Edition, by Carol Reardon and Tom Vossler, UNC Press</w:t>
                  </w:r>
                </w:p>
              </w:tc>
            </w:tr>
            <w:tr w:rsidR="00897F73" w:rsidRPr="00897F73" w14:paraId="521C0148" w14:textId="77777777" w:rsidTr="00897F73">
              <w:trPr>
                <w:trHeight w:val="255"/>
              </w:trPr>
              <w:tc>
                <w:tcPr>
                  <w:tcW w:w="1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2841AB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6BEE59" w14:textId="77777777" w:rsidR="00897F73" w:rsidRPr="00897F73" w:rsidRDefault="00897F73" w:rsidP="00897F7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Stop 21</w:t>
                  </w: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BA3B321" w14:textId="77777777" w:rsidR="00897F73" w:rsidRPr="00897F73" w:rsidRDefault="00897F73" w:rsidP="00897F7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897F7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The Bloody Wheatfield</w:t>
                  </w:r>
                </w:p>
              </w:tc>
            </w:tr>
          </w:tbl>
          <w:p w14:paraId="4C502144" w14:textId="77777777" w:rsidR="00083D26" w:rsidRPr="00083D26" w:rsidRDefault="00083D26" w:rsidP="00083D2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14:ligatures w14:val="none"/>
              </w:rPr>
            </w:pPr>
          </w:p>
          <w:p w14:paraId="7B8C6986" w14:textId="77777777" w:rsidR="00083D26" w:rsidRDefault="00083D26" w:rsidP="00083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FCEF1C8" w14:textId="7DD651E6" w:rsidR="00083D26" w:rsidRDefault="00897F73" w:rsidP="00083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Books about the action in the Wheatfield.</w:t>
            </w:r>
          </w:p>
          <w:p w14:paraId="7B5BACB5" w14:textId="77777777" w:rsidR="00897F73" w:rsidRDefault="00897F73" w:rsidP="00083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4FA68E8" w14:textId="1ECBEEA7" w:rsidR="003920AC" w:rsidRPr="003920AC" w:rsidRDefault="003920AC" w:rsidP="003920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920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Jorgensen, Jay. </w:t>
            </w:r>
            <w:r w:rsidRPr="003920A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Gettysburg’s Bloody Wheatfield</w:t>
            </w:r>
            <w:r w:rsidRPr="003920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. White Mane Books, 2002. </w:t>
            </w:r>
          </w:p>
          <w:p w14:paraId="759770D5" w14:textId="3EF97227" w:rsidR="003920AC" w:rsidRPr="003920AC" w:rsidRDefault="003920AC" w:rsidP="003920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920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Smith, James M. </w:t>
            </w:r>
            <w:r w:rsidRPr="003920A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Storming the Wheatfield: John Caldwell’s Union Division in the Gettysburg Campaign</w:t>
            </w:r>
            <w:r w:rsidRPr="003920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. Gettysburg Publishing, 2019. </w:t>
            </w:r>
          </w:p>
          <w:p w14:paraId="4DD09270" w14:textId="013C9F56" w:rsidR="003920AC" w:rsidRDefault="003920AC" w:rsidP="003920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920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Mackowski, Chris, et al. </w:t>
            </w:r>
            <w:r w:rsidRPr="003920A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Don’t Give an Inch: The Second Day at Gettysburg, July 2, 1863—From Little Round Top to Cemetery Ridge</w:t>
            </w:r>
            <w:r w:rsidRPr="003920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. Savas Beatie, 2016.</w:t>
            </w:r>
          </w:p>
          <w:p w14:paraId="62A780D5" w14:textId="4A9B97C6" w:rsidR="003920AC" w:rsidRPr="003920AC" w:rsidRDefault="003920AC" w:rsidP="003920AC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920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This book has a nice walking tour in Appendix A</w:t>
            </w:r>
          </w:p>
          <w:p w14:paraId="7C9AB389" w14:textId="77777777" w:rsidR="003920AC" w:rsidRDefault="003920AC" w:rsidP="00083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A25B6CF" w14:textId="771BF2DF" w:rsidR="00083D26" w:rsidRPr="00083D26" w:rsidRDefault="00083D26" w:rsidP="00083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83D26" w:rsidRPr="00083D26" w14:paraId="3C79D142" w14:textId="77777777" w:rsidTr="00083D26">
        <w:trPr>
          <w:trHeight w:val="6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9FC1D" w14:textId="06413B5E" w:rsidR="00083D26" w:rsidRPr="00083D26" w:rsidRDefault="00083D26" w:rsidP="00083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83D26" w:rsidRPr="00083D26" w14:paraId="29E822B3" w14:textId="77777777" w:rsidTr="00083D26">
        <w:trPr>
          <w:trHeight w:val="6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D99F5" w14:textId="0F8F3D6C" w:rsidR="00083D26" w:rsidRPr="00083D26" w:rsidRDefault="00083D26" w:rsidP="00083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83D26" w:rsidRPr="00083D26" w14:paraId="7DA55C0E" w14:textId="77777777" w:rsidTr="00083D26">
        <w:trPr>
          <w:trHeight w:val="6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7E692" w14:textId="05341B86" w:rsidR="00083D26" w:rsidRPr="00083D26" w:rsidRDefault="00083D26" w:rsidP="00083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83D26" w:rsidRPr="00083D26" w14:paraId="0EB1C6B2" w14:textId="77777777" w:rsidTr="00083D26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9904D" w14:textId="3B109B80" w:rsidR="00083D26" w:rsidRPr="00083D26" w:rsidRDefault="00083D26" w:rsidP="00083D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C06B3A1" w14:textId="77777777" w:rsidR="00083D26" w:rsidRDefault="00083D26"/>
    <w:sectPr w:rsidR="00083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3B4D"/>
    <w:multiLevelType w:val="hybridMultilevel"/>
    <w:tmpl w:val="56DCBB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72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25"/>
    <w:rsid w:val="00083D26"/>
    <w:rsid w:val="003920AC"/>
    <w:rsid w:val="005648AF"/>
    <w:rsid w:val="00582383"/>
    <w:rsid w:val="008930F2"/>
    <w:rsid w:val="00897F73"/>
    <w:rsid w:val="00AD21B9"/>
    <w:rsid w:val="00B12D25"/>
    <w:rsid w:val="00E24DD3"/>
    <w:rsid w:val="00E8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4361E"/>
  <w15:chartTrackingRefBased/>
  <w15:docId w15:val="{65E7E9C2-6E1E-461A-B2AF-A4F0E979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Houston</dc:creator>
  <cp:keywords/>
  <dc:description/>
  <cp:lastModifiedBy>Eric Houston</cp:lastModifiedBy>
  <cp:revision>3</cp:revision>
  <dcterms:created xsi:type="dcterms:W3CDTF">2026-03-17T11:50:00Z</dcterms:created>
  <dcterms:modified xsi:type="dcterms:W3CDTF">2026-03-17T12:47:00Z</dcterms:modified>
</cp:coreProperties>
</file>